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FF" w:rsidRPr="00BF6DFF" w:rsidRDefault="00BF6DFF" w:rsidP="00BF6DFF">
      <w:pPr>
        <w:spacing w:after="0" w:line="240" w:lineRule="auto"/>
        <w:jc w:val="center"/>
        <w:rPr>
          <w:rFonts w:cs="Arial"/>
          <w:b/>
          <w:color w:val="4B4F56"/>
          <w:spacing w:val="-5"/>
          <w:sz w:val="36"/>
          <w:szCs w:val="36"/>
          <w:shd w:val="clear" w:color="auto" w:fill="FFFFFF"/>
        </w:rPr>
      </w:pPr>
      <w:r w:rsidRPr="00BF6DFF">
        <w:rPr>
          <w:rFonts w:cs="Arial"/>
          <w:b/>
          <w:color w:val="4B4F56"/>
          <w:spacing w:val="-5"/>
          <w:sz w:val="36"/>
          <w:szCs w:val="36"/>
          <w:shd w:val="clear" w:color="auto" w:fill="FFFFFF"/>
        </w:rPr>
        <w:t>Comunicato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</w:rPr>
      </w:pPr>
      <w:r w:rsidRPr="00BF6DFF">
        <w:rPr>
          <w:rFonts w:cs="Arial"/>
          <w:color w:val="4B4F56"/>
          <w:spacing w:val="-5"/>
          <w:sz w:val="28"/>
          <w:szCs w:val="28"/>
          <w:shd w:val="clear" w:color="auto" w:fill="FFFFFF"/>
        </w:rPr>
        <w:t>Il processo penale come arma di lotta politica. Dalle democrazie antiche a quelle moderne, dal mondo greco e romano fino all’Italia contemporanea, tre studiosi si confronteranno sull’uso strumentale del processo penale nei secoli.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</w:rPr>
      </w:pPr>
      <w:r w:rsidRPr="00BF6DFF">
        <w:rPr>
          <w:rFonts w:cs="Arial"/>
          <w:color w:val="4B4F56"/>
          <w:spacing w:val="-5"/>
          <w:sz w:val="28"/>
          <w:szCs w:val="28"/>
          <w:shd w:val="clear" w:color="auto" w:fill="FFFFFF"/>
        </w:rPr>
        <w:t>Processo sempre spettacolare, esaltato dai media (antichi e moderni) e seguito da vicino dall’opinione pubblica, il processo penale “politico” è sempre stato astutamente plasmato dal legislatore per meglio attaccare e distruggere gli avversari politici. Fino a trasformarlo in un vero e proprio "instrumentum regni".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u w:val="single"/>
          <w:shd w:val="clear" w:color="auto" w:fill="FFFFFF"/>
        </w:rPr>
      </w:pPr>
      <w:r w:rsidRPr="00BF6DFF">
        <w:rPr>
          <w:rFonts w:cs="Arial"/>
          <w:color w:val="4B4F56"/>
          <w:spacing w:val="-5"/>
          <w:sz w:val="28"/>
          <w:szCs w:val="28"/>
          <w:u w:val="single"/>
          <w:shd w:val="clear" w:color="auto" w:fill="FFFFFF"/>
        </w:rPr>
        <w:t>Ingresso libero</w:t>
      </w:r>
    </w:p>
    <w:p w:rsidR="00BF6DFF" w:rsidRP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u w:val="single"/>
        </w:rPr>
      </w:pP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</w:rPr>
      </w:pPr>
      <w:r w:rsidRPr="00BF6DFF">
        <w:rPr>
          <w:rFonts w:cs="Arial"/>
          <w:color w:val="4B4F56"/>
          <w:spacing w:val="-5"/>
          <w:sz w:val="28"/>
          <w:szCs w:val="28"/>
          <w:shd w:val="clear" w:color="auto" w:fill="FFFFFF"/>
        </w:rPr>
        <w:t>Introducono</w:t>
      </w:r>
    </w:p>
    <w:p w:rsidR="00BF6DFF" w:rsidRDefault="00BF6DFF" w:rsidP="00BF6DFF">
      <w:pPr>
        <w:spacing w:after="0" w:line="240" w:lineRule="auto"/>
        <w:jc w:val="both"/>
        <w:rPr>
          <w:sz w:val="28"/>
          <w:szCs w:val="28"/>
        </w:rPr>
      </w:pPr>
      <w:r w:rsidRPr="00BF6DFF">
        <w:rPr>
          <w:rFonts w:cs="Arial"/>
          <w:b/>
          <w:color w:val="4B4F56"/>
          <w:spacing w:val="-5"/>
          <w:sz w:val="28"/>
          <w:szCs w:val="28"/>
          <w:shd w:val="clear" w:color="auto" w:fill="FFFFFF"/>
        </w:rPr>
        <w:t xml:space="preserve">Francesca </w:t>
      </w:r>
      <w:proofErr w:type="spellStart"/>
      <w:r w:rsidRPr="00BF6DFF">
        <w:rPr>
          <w:rFonts w:cs="Arial"/>
          <w:b/>
          <w:color w:val="4B4F56"/>
          <w:spacing w:val="-5"/>
          <w:sz w:val="28"/>
          <w:szCs w:val="28"/>
          <w:shd w:val="clear" w:color="auto" w:fill="FFFFFF"/>
        </w:rPr>
        <w:t>Spatafora</w:t>
      </w:r>
      <w:proofErr w:type="spellEnd"/>
      <w:r w:rsidRPr="00BF6DFF">
        <w:rPr>
          <w:rFonts w:cs="Arial"/>
          <w:color w:val="4B4F56"/>
          <w:spacing w:val="-5"/>
          <w:sz w:val="28"/>
          <w:szCs w:val="28"/>
          <w:shd w:val="clear" w:color="auto" w:fill="FFFFFF"/>
        </w:rPr>
        <w:t>, Direttore </w:t>
      </w:r>
      <w:hyperlink r:id="rId4" w:history="1"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 xml:space="preserve">Museo </w:t>
        </w:r>
        <w:proofErr w:type="spellStart"/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>Salinas-Polo</w:t>
        </w:r>
        <w:proofErr w:type="spellEnd"/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 xml:space="preserve"> regionale di Palermo per i Parchi e Musei Archeologici</w:t>
        </w:r>
      </w:hyperlink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Fonts w:cs="Arial"/>
          <w:b/>
          <w:color w:val="4B4F56"/>
          <w:spacing w:val="-5"/>
          <w:sz w:val="28"/>
          <w:szCs w:val="28"/>
          <w:shd w:val="clear" w:color="auto" w:fill="FFFFFF"/>
        </w:rPr>
        <w:t xml:space="preserve">Aldo </w:t>
      </w:r>
      <w:proofErr w:type="spellStart"/>
      <w:r w:rsidRPr="00BF6DFF">
        <w:rPr>
          <w:rFonts w:cs="Arial"/>
          <w:b/>
          <w:color w:val="4B4F56"/>
          <w:spacing w:val="-5"/>
          <w:sz w:val="28"/>
          <w:szCs w:val="28"/>
          <w:shd w:val="clear" w:color="auto" w:fill="FFFFFF"/>
        </w:rPr>
        <w:t>Schiavello</w:t>
      </w:r>
      <w:proofErr w:type="spellEnd"/>
      <w:r w:rsidRPr="00BF6DFF">
        <w:rPr>
          <w:rFonts w:cs="Arial"/>
          <w:color w:val="4B4F56"/>
          <w:spacing w:val="-5"/>
          <w:sz w:val="28"/>
          <w:szCs w:val="28"/>
          <w:shd w:val="clear" w:color="auto" w:fill="FFFFFF"/>
        </w:rPr>
        <w:t>, Delegato del Rettore </w:t>
      </w:r>
      <w:hyperlink r:id="rId5" w:history="1"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 xml:space="preserve">Università degli Studi di Palermo - </w:t>
        </w:r>
        <w:proofErr w:type="spellStart"/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>Younipa</w:t>
        </w:r>
        <w:proofErr w:type="spellEnd"/>
      </w:hyperlink>
    </w:p>
    <w:p w:rsidR="00BF6DFF" w:rsidRDefault="00BF6DFF" w:rsidP="00BF6DFF">
      <w:pPr>
        <w:spacing w:after="0" w:line="240" w:lineRule="auto"/>
        <w:jc w:val="both"/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 xml:space="preserve">Laura </w:t>
      </w:r>
      <w:proofErr w:type="spellStart"/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>Lorello</w:t>
      </w:r>
      <w:proofErr w:type="spellEnd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, Presidente Corso di Laurea Magistrale in Giurisprudenza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Modera</w:t>
      </w:r>
    </w:p>
    <w:p w:rsidR="00BF6DFF" w:rsidRDefault="00BF6DFF" w:rsidP="00BF6DFF">
      <w:pPr>
        <w:spacing w:after="0" w:line="240" w:lineRule="auto"/>
        <w:jc w:val="both"/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>Gian Mauro Costa</w:t>
      </w: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, giornalista e scrittore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</w:p>
    <w:p w:rsidR="00BF6DFF" w:rsidRPr="00BF6DFF" w:rsidRDefault="00BF6DFF" w:rsidP="00BF6DFF">
      <w:pPr>
        <w:spacing w:after="0" w:line="240" w:lineRule="auto"/>
        <w:jc w:val="center"/>
        <w:rPr>
          <w:rFonts w:cs="Arial"/>
          <w:color w:val="4B4F56"/>
          <w:spacing w:val="-5"/>
          <w:sz w:val="28"/>
          <w:szCs w:val="28"/>
          <w:u w:val="single"/>
          <w:shd w:val="clear" w:color="auto" w:fill="FFFFFF"/>
        </w:rPr>
      </w:pPr>
      <w:proofErr w:type="spellStart"/>
      <w:r w:rsidRPr="00BF6DFF">
        <w:rPr>
          <w:rStyle w:val="textexposedshow"/>
          <w:rFonts w:cs="Arial"/>
          <w:color w:val="4B4F56"/>
          <w:spacing w:val="-5"/>
          <w:sz w:val="28"/>
          <w:szCs w:val="28"/>
          <w:u w:val="single"/>
          <w:shd w:val="clear" w:color="auto" w:fill="FFFFFF"/>
        </w:rPr>
        <w:t>Abstract</w:t>
      </w:r>
      <w:proofErr w:type="spellEnd"/>
      <w:r w:rsidRPr="00BF6DFF">
        <w:rPr>
          <w:rStyle w:val="textexposedshow"/>
          <w:rFonts w:cs="Arial"/>
          <w:color w:val="4B4F56"/>
          <w:spacing w:val="-5"/>
          <w:sz w:val="28"/>
          <w:szCs w:val="28"/>
          <w:u w:val="single"/>
          <w:shd w:val="clear" w:color="auto" w:fill="FFFFFF"/>
        </w:rPr>
        <w:t xml:space="preserve"> degli interventi: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>Flavia Frisone</w:t>
      </w: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 xml:space="preserve"> – Università del Salento</w:t>
      </w:r>
    </w:p>
    <w:p w:rsidR="00BF6DFF" w:rsidRPr="00BF6DFF" w:rsidRDefault="00BF6DFF" w:rsidP="00BF6DFF">
      <w:pPr>
        <w:spacing w:after="0" w:line="240" w:lineRule="auto"/>
        <w:jc w:val="center"/>
        <w:rPr>
          <w:rFonts w:cs="Arial"/>
          <w:i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i/>
          <w:color w:val="4B4F56"/>
          <w:spacing w:val="-5"/>
          <w:sz w:val="28"/>
          <w:szCs w:val="28"/>
          <w:shd w:val="clear" w:color="auto" w:fill="FFFFFF"/>
        </w:rPr>
        <w:t>La democrazia come processo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Nel mondo greco la partecipazione al potere giudiziario è un aspetto radicalmente collegato alla capacità politica del cittadino.</w:t>
      </w:r>
    </w:p>
    <w:p w:rsidR="00BF6DFF" w:rsidRDefault="00BF6DFF" w:rsidP="00BF6DFF">
      <w:pPr>
        <w:spacing w:after="0" w:line="240" w:lineRule="auto"/>
        <w:jc w:val="both"/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Fin dalla riforma politica di Solone – cui certamente non si può attribuire un intento democratico – la capacità politica minima, diremmo il livello base del diritto di cittadinanza, è poter partecipare ai processi in qualità di giudice. Ciò colloca le azioni legali e i processi, di qualsiasi genere essi fossero, in una dimensione intrinsecamente politica: quel che cambia è l’ambito in cui, in quel caso, ricadeva quel che oggi definiremmo processo penale.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La prima e più importante conseguenza di ciò è che, in regimi aperti alla partecipazione diretta, il processo si trasforma una potenziale arena per le battaglie politiche più feroci, in cui tanto più si rischia quanto più è diretta e senza filtri la possibilità di giudizio di un’opinione pubblica molto facilmente manovrabile.</w:t>
      </w:r>
    </w:p>
    <w:p w:rsidR="00BF6DFF" w:rsidRDefault="00BF6DFF" w:rsidP="00BF6DFF">
      <w:pPr>
        <w:spacing w:after="0" w:line="240" w:lineRule="auto"/>
        <w:jc w:val="both"/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 xml:space="preserve">Non a caso l’efficacia di questo strumento per colpire e far fuori avversari politici e scomodi compagni di partito fu affinata in particolare nello straordinario quadro dell’Atene democratica, la città “malata di processi”, come la dipingono i testimoni del tempo. Fino quasi al parossismo, addirittura al suicidio giudiziario della democrazia stessa, studiato a tavolino dai capi del partito antidemocratico e ben rappresentato dal famoso processo per i fatti delle </w:t>
      </w:r>
      <w:proofErr w:type="spellStart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Arginuse</w:t>
      </w:r>
      <w:proofErr w:type="spellEnd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 xml:space="preserve">. Attraverso l’esempio di questo e di altri </w:t>
      </w: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lastRenderedPageBreak/>
        <w:t>famosi casi giudiziari dell’Atene democratica si cercherà di indagare questa sorta di “peccato originale” della democrazia antica.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 xml:space="preserve">Mario </w:t>
      </w:r>
      <w:proofErr w:type="spellStart"/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>Varvaro</w:t>
      </w:r>
      <w:proofErr w:type="spellEnd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 xml:space="preserve"> – </w:t>
      </w:r>
      <w:hyperlink r:id="rId6" w:history="1"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>Università degli Studi di Palermo</w:t>
        </w:r>
      </w:hyperlink>
    </w:p>
    <w:p w:rsidR="00BF6DFF" w:rsidRPr="00BF6DFF" w:rsidRDefault="00BF6DFF" w:rsidP="00BF6DFF">
      <w:pPr>
        <w:spacing w:after="0" w:line="240" w:lineRule="auto"/>
        <w:jc w:val="center"/>
        <w:rPr>
          <w:rFonts w:cs="Arial"/>
          <w:i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i/>
          <w:color w:val="4B4F56"/>
          <w:spacing w:val="-5"/>
          <w:sz w:val="28"/>
          <w:szCs w:val="28"/>
          <w:shd w:val="clear" w:color="auto" w:fill="FFFFFF"/>
        </w:rPr>
        <w:t>Il processo criminale come strumento politico nella Roma repubblicana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Nell’arroventato clima politico dell’ultimo secolo della Roma repubblicana si accentua il ricorso al processo che oggi chiameremmo penale come strumento di lotta politica.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La proliferazione di leggi di riforma sui criteri per la composizione delle corti giudicanti formate da comuni cittadini, e l’introduzione di nuove fattispecie criminose, sono espressione di una precisa politica che si configura più come un’arma per distruggere gli avversari, che non un procedimento per accertare la verità.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In tale cornice si inquadrano anche la spettacolarizzazione del processo pubblico contro imputati eccellenti, in cui gli accusatori mirano principalmente a conquistare notorietà in vista della futura carriera politica, e il ricorso strumentale alle dichiarazioni dei ‘collaboratori di giustizia’.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Concepito come arma politica, il processo perde così la sua natura di mezzo per tutelare i reali interessi della comunità e di strumento di controllo democratico. In questa prospettiva tutto diventa lecito: dalla corruzione dei giurati che dovranno emanare la sentenza alla ricerca di ogni espediente procedurale utile a ottenere l’assoluzione del colpevole pur in presenza di prove schiaccianti.</w:t>
      </w:r>
    </w:p>
    <w:p w:rsidR="00BF6DFF" w:rsidRDefault="00BF6DFF" w:rsidP="00BF6DFF">
      <w:pPr>
        <w:spacing w:after="0" w:line="240" w:lineRule="auto"/>
        <w:jc w:val="both"/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Le fonti, ricche di esempi, offrono un quadro sul quale è sempre utile tornare a riflettere.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b/>
          <w:color w:val="4B4F56"/>
          <w:spacing w:val="-5"/>
          <w:sz w:val="28"/>
          <w:szCs w:val="28"/>
          <w:shd w:val="clear" w:color="auto" w:fill="FFFFFF"/>
        </w:rPr>
        <w:t>Paola Maggio</w:t>
      </w: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 xml:space="preserve"> – </w:t>
      </w:r>
      <w:hyperlink r:id="rId7" w:history="1">
        <w:r w:rsidRPr="00BF6DFF">
          <w:rPr>
            <w:rStyle w:val="Collegamentoipertestuale"/>
            <w:rFonts w:cs="Arial"/>
            <w:color w:val="365899"/>
            <w:spacing w:val="-5"/>
            <w:sz w:val="28"/>
            <w:szCs w:val="28"/>
            <w:u w:val="none"/>
            <w:shd w:val="clear" w:color="auto" w:fill="FFFFFF"/>
          </w:rPr>
          <w:t>Università degli Studi di Palermo</w:t>
        </w:r>
      </w:hyperlink>
    </w:p>
    <w:p w:rsidR="00BF6DFF" w:rsidRPr="00BF6DFF" w:rsidRDefault="00BF6DFF" w:rsidP="00BF6DFF">
      <w:pPr>
        <w:spacing w:after="0" w:line="240" w:lineRule="auto"/>
        <w:jc w:val="center"/>
        <w:rPr>
          <w:rFonts w:cs="Arial"/>
          <w:i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i/>
          <w:color w:val="4B4F56"/>
          <w:spacing w:val="-5"/>
          <w:sz w:val="28"/>
          <w:szCs w:val="28"/>
          <w:shd w:val="clear" w:color="auto" w:fill="FFFFFF"/>
        </w:rPr>
        <w:t>Processo penale e politica: riflessioni a margine di alcuni noti casi giudiziari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I rapporti fra giurisdizione e potere politico sono così intimamente connessi da consentire di affermare che il processo è esso stesso manifestazione di potere.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Nell’immagine plastica dell’«animale in catene costretto a confessare» (Cordero) si ravvisa una strategia volta a soverchiare, neutralizzandolo, l’individuo resosi responsabile. Individuo che assai spesso è l’altro, il nemico, il diverso, l’avversario politico. Basti pensare all’inquisizione, ai processi di regime, ai tribunali rivoluzionari.</w:t>
      </w:r>
    </w:p>
    <w:p w:rsidR="00BF6DFF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 xml:space="preserve">L’interrogativo di fondo non è dunque legato alla consistenza politica del processo che è in re </w:t>
      </w:r>
      <w:proofErr w:type="spellStart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ipsa</w:t>
      </w:r>
      <w:proofErr w:type="spellEnd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, bensì alla tenuta degli argini sistematici della “forma del processo” – intesa come complesso di norme garantite e odiernamente ispirate dalla tutela dei diritti dell’individuo – rispetto ad abusi volti a farne uno strumento di lotta politica e, a sua volta, rispetto alle incursioni della politica criminale sulle garanzie di indipendenza della magistratura. Senza sottovalutare le distorsioni mediatiche delle categorie del rito che compromettono gravemente l’«estetica delle forme processuali» (</w:t>
      </w:r>
      <w:proofErr w:type="spellStart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Amodio</w:t>
      </w:r>
      <w:proofErr w:type="spellEnd"/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).</w:t>
      </w:r>
    </w:p>
    <w:p w:rsidR="00E36855" w:rsidRDefault="00BF6DFF" w:rsidP="00BF6DFF">
      <w:pPr>
        <w:spacing w:after="0" w:line="240" w:lineRule="auto"/>
        <w:jc w:val="both"/>
        <w:rPr>
          <w:rFonts w:cs="Arial"/>
          <w:color w:val="4B4F56"/>
          <w:spacing w:val="-5"/>
          <w:sz w:val="28"/>
          <w:szCs w:val="28"/>
          <w:shd w:val="clear" w:color="auto" w:fill="FFFFFF"/>
        </w:rPr>
      </w:pPr>
      <w:r w:rsidRPr="00BF6DFF">
        <w:rPr>
          <w:rStyle w:val="textexposedshow"/>
          <w:rFonts w:cs="Arial"/>
          <w:color w:val="4B4F56"/>
          <w:spacing w:val="-5"/>
          <w:sz w:val="28"/>
          <w:szCs w:val="28"/>
          <w:shd w:val="clear" w:color="auto" w:fill="FFFFFF"/>
        </w:rPr>
        <w:t>Il nodo dei rapporti fra politica e giurisdizione verrà affrontato in una prospettiva volta ai principali presidi difensivi fra le pieghe di alcune celebri vicende processuali.</w:t>
      </w:r>
    </w:p>
    <w:p w:rsidR="00BF6DFF" w:rsidRPr="00BF6DFF" w:rsidRDefault="00BF6DFF" w:rsidP="00BF6DFF">
      <w:pPr>
        <w:jc w:val="both"/>
        <w:rPr>
          <w:sz w:val="28"/>
          <w:szCs w:val="28"/>
        </w:rPr>
      </w:pPr>
    </w:p>
    <w:sectPr w:rsidR="00BF6DFF" w:rsidRPr="00BF6DFF" w:rsidSect="00E62A08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BF6DFF"/>
    <w:rsid w:val="000B61B5"/>
    <w:rsid w:val="00215780"/>
    <w:rsid w:val="00AE3F46"/>
    <w:rsid w:val="00BF6DFF"/>
    <w:rsid w:val="00C8244C"/>
    <w:rsid w:val="00E62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7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F6DFF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BF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universitapalerm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niversitapalermo/" TargetMode="External"/><Relationship Id="rId5" Type="http://schemas.openxmlformats.org/officeDocument/2006/relationships/hyperlink" Target="https://www.facebook.com/unipait/" TargetMode="External"/><Relationship Id="rId4" Type="http://schemas.openxmlformats.org/officeDocument/2006/relationships/hyperlink" Target="https://www.facebook.com/Museo.Archeologico.Antonino.Salinas.Palerm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2016-12-12T11:18:00Z</dcterms:created>
  <dcterms:modified xsi:type="dcterms:W3CDTF">2016-12-12T11:24:00Z</dcterms:modified>
</cp:coreProperties>
</file>